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Suffolk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Suffolk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Suffolk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Suffolk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Suffolk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Suffolk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South Suffolk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Suffolk is estimated to be </w:t>
      </w:r>
      <w:r w:rsidRPr="00773DF7">
        <w:rPr>
          <w:rFonts w:ascii="Libre Franklin Light" w:eastAsia="Times New Roman" w:hAnsi="Libre Franklin Light" w:cs="Calibri Light"/>
          <w:b/>
          <w:bCs/>
          <w:color w:val="C45911" w:themeColor="accent2" w:themeShade="BF"/>
        </w:rPr>
        <w:t xml:space="preserve">£815,107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Suffolk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Suffolk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Suffolk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Suffolk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Suf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Suffolk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Suf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Suffolk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Suffolk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Suf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Suffolk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Suffolk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Suffolk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38.5%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Suffolk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Suffolk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Suffolk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£815,107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Suffolk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£13,277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£274,571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£19,669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£5,532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£10,142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£491,916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£815,107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Suffolk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Suffolk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Suffolk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Suffolk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Suffolk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Suffolk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Suffolk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Suffolk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Suffolk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Suffolk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Suffolk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Suffolk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4958BF87-8C3E-475A-A82B-7316A4D3BC8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